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shd w:val="clear" w:color="auto" w:fill="FFFFFF"/>
        <w:jc w:val="center"/>
        <w:rPr>
          <w:rFonts w:ascii="宋体" w:hAnsi="宋体" w:cs="宋体"/>
          <w:kern w:val="0"/>
          <w:sz w:val="24"/>
          <w:szCs w:val="24"/>
        </w:rPr>
      </w:pPr>
      <w:r>
        <w:rPr>
          <w:rFonts w:hint="eastAsia" w:ascii="宋体" w:hAnsi="宋体" w:eastAsia="宋体" w:cs="宋体"/>
          <w:b/>
          <w:bCs/>
          <w:kern w:val="0"/>
          <w:sz w:val="36"/>
          <w:szCs w:val="36"/>
        </w:rPr>
        <w:t>天津市气象局2022年政府信息公开工作年度报告</w:t>
      </w:r>
    </w:p>
    <w:p>
      <w:pPr>
        <w:widowControl/>
        <w:shd w:val="clear" w:color="auto" w:fill="FFFFFF"/>
        <w:ind w:firstLine="480"/>
        <w:rPr>
          <w:rFonts w:ascii="宋体" w:hAnsi="宋体" w:cs="宋体"/>
          <w:kern w:val="0"/>
          <w:sz w:val="24"/>
          <w:szCs w:val="24"/>
        </w:rPr>
      </w:pPr>
    </w:p>
    <w:p>
      <w:pPr>
        <w:widowControl/>
        <w:shd w:val="clear" w:color="auto" w:fill="FFFFFF"/>
        <w:adjustRightInd w:val="0"/>
        <w:snapToGrid w:val="0"/>
        <w:spacing w:line="500" w:lineRule="exact"/>
        <w:ind w:firstLine="482"/>
        <w:rPr>
          <w:rFonts w:cs="宋体" w:asciiTheme="minorEastAsia" w:hAnsiTheme="minorEastAsia"/>
          <w:kern w:val="0"/>
          <w:sz w:val="24"/>
          <w:szCs w:val="24"/>
        </w:rPr>
      </w:pPr>
      <w:r>
        <w:rPr>
          <w:rFonts w:hint="eastAsia" w:cs="宋体" w:asciiTheme="minorEastAsia" w:hAnsiTheme="minorEastAsia"/>
          <w:kern w:val="0"/>
          <w:sz w:val="24"/>
          <w:szCs w:val="24"/>
        </w:rPr>
        <w:t>本报告是根据《中华人民共和国政府信息公开条例》（以下称《条例》）、《国务院办公厅政府信息与政务公开办公室关于工作年度报告有关事项的通知》和中国气象局有关要求编制。本报告包括总体情况、主动公开政府信息情况、收到和处理政府信息公开申请情况、政府信息公开行政复议、行政诉讼情况、存在的主要问题及改进情况等方面。</w:t>
      </w:r>
    </w:p>
    <w:p>
      <w:pPr>
        <w:widowControl/>
        <w:shd w:val="clear" w:color="auto" w:fill="FFFFFF"/>
        <w:adjustRightInd w:val="0"/>
        <w:snapToGrid w:val="0"/>
        <w:spacing w:line="500" w:lineRule="exact"/>
        <w:ind w:firstLine="482"/>
        <w:rPr>
          <w:rFonts w:cs="宋体" w:asciiTheme="minorEastAsia" w:hAnsiTheme="minorEastAsia"/>
          <w:kern w:val="0"/>
          <w:sz w:val="24"/>
          <w:szCs w:val="24"/>
        </w:rPr>
      </w:pPr>
      <w:r>
        <w:rPr>
          <w:rFonts w:hint="eastAsia" w:cs="宋体" w:asciiTheme="minorEastAsia" w:hAnsiTheme="minorEastAsia"/>
          <w:kern w:val="0"/>
          <w:sz w:val="24"/>
          <w:szCs w:val="24"/>
        </w:rPr>
        <w:t>本报告中所列数据的统计期限自2022年1月1日起至2022年12月31日止。本报告的电子版可以在天津市气象局网站下载。如对本年度报告有任何疑问，请与天津市气象局办公室联系（地址：天津市河西区气象台路100号；邮编：300074；联系电话：022-23345802）。</w:t>
      </w:r>
    </w:p>
    <w:p>
      <w:pPr>
        <w:widowControl/>
        <w:shd w:val="clear" w:color="auto" w:fill="FFFFFF"/>
        <w:adjustRightInd w:val="0"/>
        <w:snapToGrid w:val="0"/>
        <w:spacing w:line="500" w:lineRule="exact"/>
        <w:ind w:firstLine="482"/>
        <w:rPr>
          <w:rFonts w:ascii="黑体" w:hAnsi="黑体" w:eastAsia="黑体" w:cs="宋体"/>
          <w:kern w:val="0"/>
          <w:sz w:val="24"/>
          <w:szCs w:val="24"/>
        </w:rPr>
      </w:pPr>
      <w:r>
        <w:rPr>
          <w:rFonts w:hint="eastAsia" w:ascii="黑体" w:hAnsi="黑体" w:eastAsia="黑体" w:cs="宋体"/>
          <w:bCs/>
          <w:kern w:val="0"/>
          <w:sz w:val="24"/>
          <w:szCs w:val="24"/>
        </w:rPr>
        <w:t>一、总体情况</w:t>
      </w:r>
    </w:p>
    <w:p>
      <w:pPr>
        <w:widowControl/>
        <w:shd w:val="clear" w:color="auto" w:fill="FFFFFF"/>
        <w:adjustRightInd w:val="0"/>
        <w:snapToGrid w:val="0"/>
        <w:spacing w:line="500" w:lineRule="exact"/>
        <w:ind w:firstLine="482"/>
        <w:rPr>
          <w:rFonts w:ascii="宋体" w:hAnsi="宋体" w:eastAsia="宋体" w:cs="宋体"/>
          <w:kern w:val="0"/>
          <w:sz w:val="24"/>
          <w:szCs w:val="24"/>
        </w:rPr>
      </w:pPr>
      <w:r>
        <w:rPr>
          <w:rFonts w:hint="eastAsia" w:ascii="宋体" w:hAnsi="宋体" w:eastAsia="宋体" w:cs="宋体"/>
          <w:kern w:val="0"/>
          <w:sz w:val="24"/>
          <w:szCs w:val="24"/>
        </w:rPr>
        <w:t>2022年，天津市气象局以习近平新时代中国特色社会主义思想为指导，认真学习贯彻党的二十大和十九</w:t>
      </w:r>
      <w:r>
        <w:rPr>
          <w:rFonts w:hint="eastAsia" w:ascii="宋体" w:hAnsi="宋体" w:eastAsia="宋体" w:cs="宋体"/>
          <w:kern w:val="0"/>
          <w:sz w:val="24"/>
          <w:szCs w:val="24"/>
          <w:lang w:eastAsia="zh-CN"/>
        </w:rPr>
        <w:t>届</w:t>
      </w:r>
      <w:r>
        <w:rPr>
          <w:rFonts w:hint="eastAsia" w:ascii="宋体" w:hAnsi="宋体" w:eastAsia="宋体" w:cs="宋体"/>
          <w:kern w:val="0"/>
          <w:sz w:val="24"/>
          <w:szCs w:val="24"/>
        </w:rPr>
        <w:t>六中全会精神，落实中国气象局、市委市政府关于政务公开工作的部署，紧紧围绕全市气象部门中心工作和公众对气象工作的关切，坚持统筹兼顾、突出重点，着力提升政务公开质量，全市气象部门政府信息公开工作质量和水平得到不断提升。</w:t>
      </w:r>
    </w:p>
    <w:p>
      <w:pPr>
        <w:widowControl/>
        <w:shd w:val="clear" w:color="auto" w:fill="FFFFFF"/>
        <w:adjustRightInd w:val="0"/>
        <w:snapToGrid w:val="0"/>
        <w:spacing w:line="500" w:lineRule="exact"/>
        <w:ind w:firstLine="482"/>
        <w:rPr>
          <w:rFonts w:ascii="楷体_GB2312" w:hAnsi="宋体" w:eastAsia="楷体_GB2312" w:cs="宋体"/>
          <w:kern w:val="0"/>
          <w:sz w:val="24"/>
          <w:szCs w:val="24"/>
        </w:rPr>
      </w:pPr>
      <w:r>
        <w:rPr>
          <w:rFonts w:hint="eastAsia" w:ascii="楷体_GB2312" w:hAnsi="宋体" w:eastAsia="楷体_GB2312" w:cs="宋体"/>
          <w:kern w:val="0"/>
          <w:sz w:val="24"/>
          <w:szCs w:val="24"/>
        </w:rPr>
        <w:t>（一）强化政务公开工作组织领导</w:t>
      </w:r>
    </w:p>
    <w:p>
      <w:pPr>
        <w:widowControl/>
        <w:shd w:val="clear" w:color="auto" w:fill="FFFFFF"/>
        <w:adjustRightInd w:val="0"/>
        <w:snapToGrid w:val="0"/>
        <w:spacing w:line="500" w:lineRule="exact"/>
        <w:ind w:firstLine="482"/>
        <w:rPr>
          <w:rFonts w:ascii="宋体" w:hAnsi="宋体" w:eastAsia="宋体" w:cs="宋体"/>
          <w:kern w:val="0"/>
          <w:sz w:val="24"/>
          <w:szCs w:val="24"/>
        </w:rPr>
      </w:pPr>
      <w:r>
        <w:rPr>
          <w:rFonts w:ascii="宋体" w:hAnsi="宋体" w:eastAsia="宋体" w:cs="宋体"/>
          <w:kern w:val="0"/>
          <w:sz w:val="24"/>
          <w:szCs w:val="24"/>
        </w:rPr>
        <w:t>天津市气象局</w:t>
      </w:r>
      <w:r>
        <w:rPr>
          <w:rFonts w:hint="eastAsia" w:ascii="宋体" w:hAnsi="宋体" w:eastAsia="宋体" w:cs="宋体"/>
          <w:kern w:val="0"/>
          <w:sz w:val="24"/>
          <w:szCs w:val="24"/>
        </w:rPr>
        <w:t>高度重视政府信息公开工作，一是及时传达贯彻中国气象局政府信息公开工作有关文件精神，研究部署政府信息公开工作，建立了分管领导主抓、办公室具体负责、各处室密切配合的工作机制；二是加强政务公开与气象现代化、机关效能、依法行政等相关工作的协同配合，多措并举推进政务公开工作水平稳步提升；三是结合工作实际进一步完善政府信息公开指南内容，细化公开范围和目录，方便公众查阅和获取；四是督促强化保密审查工作，切实落实保密审查责任，有效保障了国家秘密安全。</w:t>
      </w:r>
    </w:p>
    <w:p>
      <w:pPr>
        <w:widowControl/>
        <w:shd w:val="clear" w:color="auto" w:fill="FFFFFF"/>
        <w:adjustRightInd w:val="0"/>
        <w:snapToGrid w:val="0"/>
        <w:spacing w:line="500" w:lineRule="exact"/>
        <w:ind w:firstLine="482"/>
        <w:rPr>
          <w:rFonts w:ascii="楷体_GB2312" w:hAnsi="宋体" w:eastAsia="楷体_GB2312" w:cs="宋体"/>
          <w:kern w:val="0"/>
          <w:sz w:val="24"/>
          <w:szCs w:val="24"/>
        </w:rPr>
      </w:pPr>
      <w:r>
        <w:rPr>
          <w:rFonts w:hint="eastAsia" w:ascii="楷体_GB2312" w:hAnsi="宋体" w:eastAsia="楷体_GB2312" w:cs="宋体"/>
          <w:kern w:val="0"/>
          <w:sz w:val="24"/>
          <w:szCs w:val="24"/>
        </w:rPr>
        <w:t>（二）公开的主要内容和形式</w:t>
      </w:r>
    </w:p>
    <w:p>
      <w:pPr>
        <w:widowControl/>
        <w:shd w:val="clear" w:color="auto" w:fill="FFFFFF"/>
        <w:adjustRightInd w:val="0"/>
        <w:snapToGrid w:val="0"/>
        <w:spacing w:line="500" w:lineRule="exact"/>
        <w:ind w:firstLine="482"/>
        <w:rPr>
          <w:rFonts w:ascii="宋体" w:hAnsi="宋体" w:eastAsia="宋体" w:cs="宋体"/>
          <w:kern w:val="0"/>
          <w:sz w:val="24"/>
          <w:szCs w:val="24"/>
        </w:rPr>
      </w:pPr>
      <w:r>
        <w:rPr>
          <w:rFonts w:hint="eastAsia" w:ascii="宋体" w:hAnsi="宋体" w:eastAsia="宋体" w:cs="宋体"/>
          <w:kern w:val="0"/>
          <w:sz w:val="24"/>
          <w:szCs w:val="24"/>
        </w:rPr>
        <w:t>2022年以来，天津市气象局通过门户网站、微博等渠道，广泛公开我市气象部门相关部门概况、领导信息、公开办法、公开指南、公开目录、权责清单、公共服务、公众留言、局长信箱等内容，并积极回应社会关切，及时发布社会企业和群众所需的相关信息。</w:t>
      </w:r>
    </w:p>
    <w:p>
      <w:pPr>
        <w:widowControl/>
        <w:shd w:val="clear" w:color="auto" w:fill="FFFFFF"/>
        <w:adjustRightInd w:val="0"/>
        <w:snapToGrid w:val="0"/>
        <w:spacing w:line="500" w:lineRule="exact"/>
        <w:ind w:firstLine="482"/>
        <w:rPr>
          <w:rFonts w:ascii="宋体" w:hAnsi="宋体" w:eastAsia="宋体" w:cs="宋体"/>
          <w:kern w:val="0"/>
          <w:sz w:val="24"/>
          <w:szCs w:val="24"/>
        </w:rPr>
      </w:pPr>
      <w:r>
        <w:rPr>
          <w:rFonts w:hint="eastAsia" w:ascii="宋体" w:hAnsi="宋体" w:eastAsia="宋体" w:cs="宋体"/>
          <w:b/>
          <w:kern w:val="0"/>
          <w:sz w:val="24"/>
          <w:szCs w:val="24"/>
        </w:rPr>
        <w:t>1.部门网站</w:t>
      </w:r>
      <w:r>
        <w:rPr>
          <w:rFonts w:hint="eastAsia" w:ascii="宋体" w:hAnsi="宋体" w:eastAsia="宋体" w:cs="宋体"/>
          <w:kern w:val="0"/>
          <w:sz w:val="24"/>
          <w:szCs w:val="24"/>
        </w:rPr>
        <w:t>。2022年，天津市气象局按照气象部门政府信息公开工作有关要求，在部门网站规范设置了“政府信息公开”栏目，该栏目下设“政府信息公开指南”“政府信息公开制度”“法定主动公开内容”“依申请公开”“政府信息公开年报”等子栏目，公众可通过专栏查阅和检索天津市气象局主动公开信息内容，并下载依申请公开表格，也可在线进行依申请公开。天津市气象局门户网站及时对汛期气象服务、灾害天气预报服务、党史学习教育和“3·23世界气象日”，“5·12防灾减灾日”等活动进行了宣传。网站全年共计发布相关稿件</w:t>
      </w:r>
      <w:r>
        <w:rPr>
          <w:rFonts w:hint="eastAsia" w:ascii="宋体" w:hAnsi="宋体" w:eastAsia="宋体" w:cs="宋体"/>
          <w:color w:val="000000" w:themeColor="text1"/>
          <w:kern w:val="0"/>
          <w:sz w:val="24"/>
          <w:szCs w:val="24"/>
          <w:lang w:val="en-US" w:eastAsia="zh-CN"/>
        </w:rPr>
        <w:t>584</w:t>
      </w:r>
      <w:r>
        <w:rPr>
          <w:rFonts w:hint="eastAsia" w:ascii="宋体" w:hAnsi="宋体" w:eastAsia="宋体" w:cs="宋体"/>
          <w:kern w:val="0"/>
          <w:sz w:val="24"/>
          <w:szCs w:val="24"/>
        </w:rPr>
        <w:t>篇。在门户网站开设“高温天气”栏目，每年6至9月发布全市高温天气统计数据，为劳动者及时享受高温福利和补贴提供便利。</w:t>
      </w:r>
    </w:p>
    <w:p>
      <w:pPr>
        <w:widowControl/>
        <w:shd w:val="clear" w:color="auto" w:fill="FFFFFF"/>
        <w:adjustRightInd w:val="0"/>
        <w:snapToGrid w:val="0"/>
        <w:spacing w:line="500" w:lineRule="exact"/>
        <w:ind w:firstLine="482"/>
        <w:rPr>
          <w:rFonts w:ascii="宋体" w:hAnsi="宋体" w:eastAsia="宋体" w:cs="宋体"/>
          <w:kern w:val="0"/>
          <w:sz w:val="24"/>
          <w:szCs w:val="24"/>
        </w:rPr>
      </w:pPr>
      <w:r>
        <w:rPr>
          <w:rFonts w:hint="eastAsia" w:ascii="宋体" w:hAnsi="宋体" w:eastAsia="宋体" w:cs="宋体"/>
          <w:b/>
          <w:kern w:val="0"/>
          <w:sz w:val="24"/>
          <w:szCs w:val="24"/>
        </w:rPr>
        <w:t>2.新闻媒体</w:t>
      </w:r>
      <w:r>
        <w:rPr>
          <w:rFonts w:hint="eastAsia" w:ascii="宋体" w:hAnsi="宋体" w:eastAsia="宋体" w:cs="宋体"/>
          <w:kern w:val="0"/>
          <w:sz w:val="24"/>
          <w:szCs w:val="24"/>
        </w:rPr>
        <w:t>。通过新华网、人民网、北方网、《中国气象报》、中国天气网等众多新闻媒体，每天积极主动向社会公众发布有关气象信息。特别是在“3·23世界气象日”和“5·12防灾减灾日”期间，积极开展线上科普活动，取得了良好收效。年内，在中国气象报，中国气象局网站、新媒体累计发稿</w:t>
      </w:r>
      <w:r>
        <w:rPr>
          <w:rFonts w:hint="eastAsia" w:ascii="宋体" w:hAnsi="宋体" w:eastAsia="宋体" w:cs="宋体"/>
          <w:color w:val="000000" w:themeColor="text1"/>
          <w:kern w:val="0"/>
          <w:sz w:val="24"/>
          <w:szCs w:val="24"/>
          <w:lang w:val="en-US" w:eastAsia="zh-CN"/>
        </w:rPr>
        <w:t>343</w:t>
      </w:r>
      <w:r>
        <w:rPr>
          <w:rFonts w:hint="eastAsia" w:ascii="宋体" w:hAnsi="宋体" w:eastAsia="宋体" w:cs="宋体"/>
          <w:kern w:val="0"/>
          <w:sz w:val="24"/>
          <w:szCs w:val="24"/>
        </w:rPr>
        <w:t>篇，组织和参与新闻发布会及媒体专访</w:t>
      </w:r>
      <w:r>
        <w:rPr>
          <w:rFonts w:hint="eastAsia" w:ascii="宋体" w:hAnsi="宋体" w:eastAsia="宋体" w:cs="宋体"/>
          <w:color w:val="000000" w:themeColor="text1"/>
          <w:kern w:val="0"/>
          <w:sz w:val="24"/>
          <w:szCs w:val="24"/>
          <w:lang w:val="en-US" w:eastAsia="zh-CN"/>
        </w:rPr>
        <w:t>50</w:t>
      </w:r>
      <w:r>
        <w:rPr>
          <w:rFonts w:hint="eastAsia" w:ascii="宋体" w:hAnsi="宋体" w:eastAsia="宋体" w:cs="宋体"/>
          <w:kern w:val="0"/>
          <w:sz w:val="24"/>
          <w:szCs w:val="24"/>
        </w:rPr>
        <w:t>次。</w:t>
      </w:r>
    </w:p>
    <w:p>
      <w:pPr>
        <w:widowControl/>
        <w:shd w:val="clear" w:color="auto" w:fill="FFFFFF"/>
        <w:ind w:firstLine="480"/>
        <w:rPr>
          <w:rFonts w:ascii="宋体" w:hAnsi="宋体" w:cs="宋体"/>
          <w:kern w:val="0"/>
          <w:sz w:val="24"/>
          <w:szCs w:val="24"/>
        </w:rPr>
      </w:pPr>
      <w:r>
        <w:rPr>
          <w:rFonts w:hint="eastAsia" w:ascii="宋体" w:hAnsi="宋体" w:eastAsia="宋体" w:cs="宋体"/>
          <w:b/>
          <w:bCs/>
          <w:kern w:val="0"/>
          <w:sz w:val="24"/>
          <w:szCs w:val="24"/>
        </w:rPr>
        <w:t>二、主动公开政府信息情况</w:t>
      </w:r>
    </w:p>
    <w:p>
      <w:pPr>
        <w:widowControl/>
        <w:shd w:val="clear" w:color="auto" w:fill="FFFFFF"/>
        <w:ind w:firstLine="480"/>
        <w:rPr>
          <w:rFonts w:ascii="宋体" w:hAnsi="宋体" w:cs="宋体"/>
          <w:kern w:val="0"/>
          <w:sz w:val="24"/>
          <w:szCs w:val="24"/>
        </w:rPr>
      </w:pP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0"/>
                <w:szCs w:val="20"/>
              </w:rPr>
              <w:t>　　</w:t>
            </w:r>
            <w:r>
              <w:rPr>
                <w:rFonts w:hint="eastAsia" w:ascii="宋体" w:hAnsi="宋体" w:eastAsia="宋体" w:cs="宋体"/>
                <w:color w:val="000000" w:themeColor="text1"/>
                <w:kern w:val="0"/>
                <w:sz w:val="20"/>
                <w:szCs w:val="20"/>
                <w:lang w:val="en-US" w:eastAsia="zh-CN"/>
              </w:rPr>
              <w:t>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eastAsia="zh-CN"/>
              </w:rPr>
            </w:pPr>
            <w:r>
              <w:rPr>
                <w:rFonts w:ascii="Calibri" w:hAnsi="Calibri" w:eastAsia="宋体" w:cs="宋体"/>
                <w:kern w:val="0"/>
                <w:szCs w:val="21"/>
              </w:rPr>
              <w:t> </w:t>
            </w:r>
            <w:r>
              <w:rPr>
                <w:rFonts w:hint="eastAsia" w:ascii="Calibri" w:hAnsi="Calibri" w:eastAsia="宋体" w:cs="宋体"/>
                <w:color w:val="000000" w:themeColor="text1"/>
                <w:kern w:val="0"/>
                <w:szCs w:val="21"/>
                <w:lang w:val="en-US" w:eastAsia="zh-CN"/>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cs="宋体" w:eastAsiaTheme="minorEastAsia"/>
                <w:kern w:val="0"/>
                <w:sz w:val="24"/>
                <w:szCs w:val="24"/>
                <w:lang w:val="en-US" w:eastAsia="zh-CN"/>
              </w:rPr>
            </w:pPr>
            <w:r>
              <w:rPr>
                <w:rFonts w:hint="eastAsia" w:ascii="宋体" w:hAnsi="宋体" w:cs="宋体"/>
                <w:color w:val="000000" w:themeColor="text1"/>
                <w:kern w:val="0"/>
                <w:sz w:val="24"/>
                <w:szCs w:val="24"/>
                <w:lang w:val="en-US" w:eastAsia="zh-CN"/>
              </w:rPr>
              <w:t>597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r>
    </w:tbl>
    <w:p>
      <w:pPr>
        <w:widowControl/>
        <w:shd w:val="clear" w:color="auto" w:fill="FFFFFF"/>
        <w:ind w:firstLine="480"/>
        <w:rPr>
          <w:rFonts w:ascii="宋体" w:hAnsi="宋体" w:eastAsia="宋体" w:cs="宋体"/>
          <w:b/>
          <w:bCs/>
          <w:kern w:val="0"/>
          <w:sz w:val="24"/>
          <w:szCs w:val="24"/>
        </w:rPr>
      </w:pPr>
    </w:p>
    <w:p>
      <w:pPr>
        <w:widowControl/>
        <w:shd w:val="clear" w:color="auto" w:fill="FFFFFF"/>
        <w:ind w:firstLine="480"/>
        <w:rPr>
          <w:rFonts w:ascii="宋体" w:hAnsi="宋体" w:cs="宋体"/>
          <w:kern w:val="0"/>
          <w:sz w:val="24"/>
          <w:szCs w:val="24"/>
        </w:rPr>
      </w:pPr>
      <w:r>
        <w:rPr>
          <w:rFonts w:hint="eastAsia" w:ascii="宋体" w:hAnsi="宋体" w:eastAsia="宋体" w:cs="宋体"/>
          <w:b/>
          <w:bCs/>
          <w:kern w:val="0"/>
          <w:sz w:val="24"/>
          <w:szCs w:val="24"/>
        </w:rPr>
        <w:t>三、收到和处理政府信息公开申请情况</w:t>
      </w:r>
    </w:p>
    <w:p>
      <w:pPr>
        <w:widowControl/>
        <w:shd w:val="clear" w:color="auto" w:fill="FFFFFF"/>
        <w:ind w:firstLine="480"/>
        <w:rPr>
          <w:rFonts w:ascii="宋体" w:hAnsi="宋体" w:cs="宋体"/>
          <w:kern w:val="0"/>
          <w:sz w:val="24"/>
          <w:szCs w:val="24"/>
        </w:rPr>
      </w:pPr>
    </w:p>
    <w:tbl>
      <w:tblPr>
        <w:tblStyle w:val="8"/>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2" w:type="dxa"/>
            <w:gridSpan w:val="3"/>
            <w:vMerge w:val="restart"/>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gridSpan w:val="3"/>
            <w:vMerge w:val="continue"/>
            <w:vAlign w:val="center"/>
          </w:tcPr>
          <w:p>
            <w:pPr>
              <w:widowControl/>
              <w:jc w:val="left"/>
              <w:rPr>
                <w:rFonts w:ascii="宋体" w:hAnsi="宋体" w:cs="宋体"/>
                <w:kern w:val="0"/>
                <w:sz w:val="24"/>
                <w:szCs w:val="24"/>
              </w:rPr>
            </w:pPr>
          </w:p>
        </w:tc>
        <w:tc>
          <w:tcPr>
            <w:tcW w:w="688" w:type="dxa"/>
            <w:vMerge w:val="restart"/>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自然人</w:t>
            </w:r>
          </w:p>
        </w:tc>
        <w:tc>
          <w:tcPr>
            <w:tcW w:w="3440" w:type="dxa"/>
            <w:gridSpan w:val="5"/>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法人或其他组织</w:t>
            </w:r>
          </w:p>
        </w:tc>
        <w:tc>
          <w:tcPr>
            <w:tcW w:w="688" w:type="dxa"/>
            <w:vMerge w:val="restart"/>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gridSpan w:val="3"/>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688" w:type="dxa"/>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商业</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企业</w:t>
            </w:r>
          </w:p>
        </w:tc>
        <w:tc>
          <w:tcPr>
            <w:tcW w:w="688" w:type="dxa"/>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科研</w:t>
            </w:r>
          </w:p>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机构</w:t>
            </w:r>
          </w:p>
        </w:tc>
        <w:tc>
          <w:tcPr>
            <w:tcW w:w="688" w:type="dxa"/>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社会公益组织</w:t>
            </w:r>
          </w:p>
        </w:tc>
        <w:tc>
          <w:tcPr>
            <w:tcW w:w="688" w:type="dxa"/>
            <w:tcMar>
              <w:top w:w="0" w:type="dxa"/>
              <w:left w:w="57" w:type="dxa"/>
              <w:bottom w:w="0" w:type="dxa"/>
              <w:right w:w="57" w:type="dxa"/>
            </w:tcMar>
            <w:vAlign w:val="center"/>
          </w:tcPr>
          <w:p>
            <w:pPr>
              <w:widowControl/>
              <w:spacing w:line="0" w:lineRule="atLeast"/>
              <w:jc w:val="center"/>
              <w:rPr>
                <w:rFonts w:ascii="宋体" w:hAnsi="宋体" w:cs="宋体"/>
                <w:kern w:val="0"/>
                <w:sz w:val="24"/>
                <w:szCs w:val="24"/>
              </w:rPr>
            </w:pPr>
            <w:r>
              <w:rPr>
                <w:rFonts w:hint="eastAsia" w:ascii="宋体" w:hAnsi="宋体" w:eastAsia="宋体" w:cs="宋体"/>
                <w:kern w:val="0"/>
                <w:sz w:val="20"/>
                <w:szCs w:val="20"/>
              </w:rPr>
              <w:t>法律服务机构</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p>
        </w:tc>
        <w:tc>
          <w:tcPr>
            <w:tcW w:w="0" w:type="auto"/>
            <w:vMerge w:val="continue"/>
            <w:vAlign w:val="center"/>
          </w:tcPr>
          <w:p>
            <w:pPr>
              <w:widowControl/>
              <w:jc w:val="left"/>
              <w:rPr>
                <w:rFonts w:ascii="宋体" w:hAnsi="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2" w:type="dxa"/>
            <w:gridSpan w:val="3"/>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一、本年新收政府信息公开申请数量</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color w:val="000000" w:themeColor="text1"/>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color w:val="000000" w:themeColor="text1"/>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2" w:type="dxa"/>
            <w:gridSpan w:val="3"/>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二、上年结转政府信息公开申请数量</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9" w:type="dxa"/>
            <w:vMerge w:val="restart"/>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三、本年度办理结果</w:t>
            </w:r>
          </w:p>
        </w:tc>
        <w:tc>
          <w:tcPr>
            <w:tcW w:w="4163" w:type="dxa"/>
            <w:gridSpan w:val="2"/>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（一）予以公开</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color w:val="000000" w:themeColor="text1"/>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color w:val="000000" w:themeColor="text1"/>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（三）不予公开</w:t>
            </w:r>
          </w:p>
        </w:tc>
        <w:tc>
          <w:tcPr>
            <w:tcW w:w="3220"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（四）无法提供</w:t>
            </w:r>
          </w:p>
        </w:tc>
        <w:tc>
          <w:tcPr>
            <w:tcW w:w="3220" w:type="dxa"/>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1.本机关不掌握相关政府信息</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2.没有现成信息需要另行制作</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3.补正后申请内容仍不明确</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（五）不予处理</w:t>
            </w:r>
          </w:p>
        </w:tc>
        <w:tc>
          <w:tcPr>
            <w:tcW w:w="3220" w:type="dxa"/>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1.信访举报投诉类申请</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2.重复申请</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3.要求提供公开出版物</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eastAsia="宋体" w:cs="宋体"/>
                <w:kern w:val="0"/>
                <w:sz w:val="20"/>
                <w:szCs w:val="20"/>
              </w:rPr>
              <w:t>4.无正当理由大量反复申请</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9" w:hRule="atLeast"/>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（六）其他处理</w:t>
            </w:r>
          </w:p>
        </w:tc>
        <w:tc>
          <w:tcPr>
            <w:tcW w:w="3220" w:type="dxa"/>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3.其他</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（七）总计</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color w:val="000000" w:themeColor="text1"/>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eastAsia="宋体" w:cs="宋体"/>
                <w:color w:val="000000" w:themeColor="text1"/>
                <w:kern w:val="0"/>
                <w:sz w:val="20"/>
                <w:szCs w:val="2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32" w:type="dxa"/>
            <w:gridSpan w:val="3"/>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eastAsia="宋体" w:cs="宋体"/>
                <w:kern w:val="0"/>
                <w:sz w:val="20"/>
                <w:szCs w:val="20"/>
              </w:rPr>
              <w:t>四、结转下年度继续办理</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c>
          <w:tcPr>
            <w:tcW w:w="688" w:type="dxa"/>
            <w:tcMar>
              <w:top w:w="0" w:type="dxa"/>
              <w:left w:w="57" w:type="dxa"/>
              <w:bottom w:w="0" w:type="dxa"/>
              <w:right w:w="57" w:type="dxa"/>
            </w:tcMar>
            <w:vAlign w:val="center"/>
          </w:tcPr>
          <w:p>
            <w:pPr>
              <w:jc w:val="center"/>
            </w:pPr>
            <w:r>
              <w:rPr>
                <w:rFonts w:hint="eastAsia" w:ascii="Calibri" w:hAnsi="Calibri" w:eastAsia="宋体" w:cs="宋体"/>
                <w:kern w:val="0"/>
                <w:sz w:val="20"/>
                <w:szCs w:val="20"/>
              </w:rPr>
              <w:t>0</w:t>
            </w:r>
          </w:p>
        </w:tc>
      </w:tr>
    </w:tbl>
    <w:p>
      <w:pPr>
        <w:widowControl/>
        <w:shd w:val="clear" w:color="auto" w:fill="FFFFFF"/>
        <w:jc w:val="center"/>
        <w:rPr>
          <w:rFonts w:ascii="宋体" w:hAnsi="宋体" w:cs="宋体"/>
          <w:kern w:val="0"/>
          <w:sz w:val="24"/>
          <w:szCs w:val="24"/>
        </w:rPr>
      </w:pPr>
    </w:p>
    <w:p>
      <w:pPr>
        <w:widowControl/>
        <w:shd w:val="clear" w:color="auto" w:fill="FFFFFF"/>
        <w:ind w:firstLine="480"/>
        <w:rPr>
          <w:rFonts w:ascii="宋体" w:hAnsi="宋体" w:cs="宋体"/>
          <w:kern w:val="0"/>
          <w:sz w:val="24"/>
          <w:szCs w:val="24"/>
        </w:rPr>
      </w:pPr>
      <w:r>
        <w:rPr>
          <w:rFonts w:hint="eastAsia" w:ascii="宋体" w:hAnsi="宋体" w:eastAsia="宋体" w:cs="宋体"/>
          <w:b/>
          <w:bCs/>
          <w:kern w:val="0"/>
          <w:sz w:val="24"/>
          <w:szCs w:val="24"/>
        </w:rPr>
        <w:t>四、政府信息公开行政复议、行政诉讼情况</w:t>
      </w:r>
    </w:p>
    <w:p>
      <w:pPr>
        <w:widowControl/>
        <w:shd w:val="clear" w:color="auto" w:fill="FFFFFF"/>
        <w:jc w:val="center"/>
        <w:rPr>
          <w:rFonts w:ascii="宋体" w:hAnsi="宋体" w:cs="宋体"/>
          <w:kern w:val="0"/>
          <w:sz w:val="24"/>
          <w:szCs w:val="24"/>
        </w:rPr>
      </w:pPr>
    </w:p>
    <w:tbl>
      <w:tblPr>
        <w:tblStyle w:val="8"/>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250" w:type="dxa"/>
            <w:gridSpan w:val="5"/>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行政复议</w:t>
            </w:r>
          </w:p>
        </w:tc>
        <w:tc>
          <w:tcPr>
            <w:tcW w:w="6498" w:type="dxa"/>
            <w:gridSpan w:val="1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行政诉讼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50" w:type="dxa"/>
            <w:vMerge w:val="restart"/>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结果维持</w:t>
            </w:r>
          </w:p>
        </w:tc>
        <w:tc>
          <w:tcPr>
            <w:tcW w:w="650" w:type="dxa"/>
            <w:vMerge w:val="restart"/>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3248" w:type="dxa"/>
            <w:gridSpan w:val="5"/>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未经复议直接起诉</w:t>
            </w:r>
          </w:p>
        </w:tc>
        <w:tc>
          <w:tcPr>
            <w:tcW w:w="3250" w:type="dxa"/>
            <w:gridSpan w:val="5"/>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复议后起诉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0" w:type="auto"/>
            <w:vMerge w:val="continue"/>
            <w:vAlign w:val="center"/>
          </w:tcPr>
          <w:p>
            <w:pPr>
              <w:widowControl/>
              <w:jc w:val="left"/>
              <w:rPr>
                <w:rFonts w:ascii="宋体" w:hAnsi="宋体" w:cs="宋体"/>
                <w:kern w:val="0"/>
                <w:sz w:val="24"/>
                <w:szCs w:val="24"/>
              </w:rPr>
            </w:pPr>
          </w:p>
        </w:tc>
        <w:tc>
          <w:tcPr>
            <w:tcW w:w="649"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2" w:hRule="atLeast"/>
          <w:jc w:val="center"/>
        </w:trPr>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49"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49"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eastAsia="宋体" w:cs="宋体"/>
                <w:kern w:val="0"/>
                <w:sz w:val="20"/>
                <w:szCs w:val="20"/>
              </w:rPr>
              <w:t>0</w:t>
            </w:r>
          </w:p>
        </w:tc>
        <w:tc>
          <w:tcPr>
            <w:tcW w:w="650" w:type="dxa"/>
            <w:tcMar>
              <w:top w:w="0" w:type="dxa"/>
              <w:left w:w="108" w:type="dxa"/>
              <w:bottom w:w="0" w:type="dxa"/>
              <w:right w:w="108" w:type="dxa"/>
            </w:tcMar>
            <w:vAlign w:val="center"/>
          </w:tcPr>
          <w:p>
            <w:pPr>
              <w:widowControl/>
              <w:ind w:firstLine="240" w:firstLineChars="100"/>
              <w:jc w:val="center"/>
              <w:rPr>
                <w:rFonts w:ascii="宋体" w:hAnsi="宋体" w:cs="宋体"/>
                <w:kern w:val="0"/>
                <w:sz w:val="24"/>
                <w:szCs w:val="24"/>
              </w:rPr>
            </w:pPr>
            <w:r>
              <w:rPr>
                <w:rFonts w:hint="eastAsia" w:ascii="宋体" w:hAnsi="宋体" w:cs="宋体"/>
                <w:kern w:val="0"/>
                <w:sz w:val="24"/>
                <w:szCs w:val="24"/>
              </w:rPr>
              <w:t>0</w:t>
            </w:r>
          </w:p>
        </w:tc>
      </w:tr>
    </w:tbl>
    <w:p>
      <w:pPr>
        <w:widowControl/>
        <w:shd w:val="clear" w:color="auto" w:fill="FFFFFF"/>
        <w:adjustRightInd w:val="0"/>
        <w:snapToGrid w:val="0"/>
        <w:spacing w:line="500" w:lineRule="exact"/>
        <w:ind w:firstLine="482"/>
        <w:rPr>
          <w:rFonts w:ascii="宋体" w:hAnsi="宋体" w:eastAsia="宋体" w:cs="宋体"/>
          <w:b/>
          <w:kern w:val="0"/>
          <w:sz w:val="24"/>
          <w:szCs w:val="24"/>
        </w:rPr>
      </w:pPr>
    </w:p>
    <w:p>
      <w:pPr>
        <w:widowControl/>
        <w:shd w:val="clear" w:color="auto" w:fill="FFFFFF"/>
        <w:adjustRightInd w:val="0"/>
        <w:snapToGrid w:val="0"/>
        <w:spacing w:line="500" w:lineRule="exact"/>
        <w:ind w:firstLine="482"/>
        <w:rPr>
          <w:rFonts w:ascii="宋体" w:hAnsi="宋体" w:eastAsia="宋体" w:cs="宋体"/>
          <w:b/>
          <w:kern w:val="0"/>
          <w:sz w:val="24"/>
          <w:szCs w:val="24"/>
        </w:rPr>
      </w:pPr>
      <w:r>
        <w:rPr>
          <w:rFonts w:hint="eastAsia" w:ascii="宋体" w:hAnsi="宋体" w:eastAsia="宋体" w:cs="宋体"/>
          <w:b/>
          <w:kern w:val="0"/>
          <w:sz w:val="24"/>
          <w:szCs w:val="24"/>
        </w:rPr>
        <w:t>五、存在的主要问题及改进情况</w:t>
      </w:r>
    </w:p>
    <w:p>
      <w:pPr>
        <w:widowControl/>
        <w:shd w:val="clear" w:color="auto" w:fill="FFFFFF"/>
        <w:adjustRightInd w:val="0"/>
        <w:snapToGrid w:val="0"/>
        <w:spacing w:line="500" w:lineRule="exact"/>
        <w:ind w:firstLine="482"/>
        <w:rPr>
          <w:rFonts w:ascii="宋体" w:hAnsi="宋体" w:eastAsia="宋体" w:cs="宋体"/>
          <w:kern w:val="0"/>
          <w:sz w:val="24"/>
          <w:szCs w:val="24"/>
        </w:rPr>
      </w:pPr>
      <w:r>
        <w:rPr>
          <w:rFonts w:hint="eastAsia" w:ascii="宋体" w:hAnsi="宋体" w:eastAsia="宋体" w:cs="宋体"/>
          <w:kern w:val="0"/>
          <w:sz w:val="24"/>
          <w:szCs w:val="24"/>
        </w:rPr>
        <w:t>一年来，天津市气象局不断强化政府信息公开工作，改进部门网站功能，组织参加专题培训，按目录规范发布各类公开信息，取得了一定的成效，但距离上级部门的要求和社会公众的需求仍有一定差距，公众获取信息的渠道亟待进一步拓宽。下一步，天津市气象局将进一步贯彻落实《中华人民共和国政府信息公开条例》，按照中国气象局和天津市委、市政府</w:t>
      </w:r>
      <w:bookmarkStart w:id="0" w:name="_GoBack"/>
      <w:bookmarkEnd w:id="0"/>
      <w:r>
        <w:rPr>
          <w:rFonts w:hint="eastAsia" w:ascii="宋体" w:hAnsi="宋体" w:eastAsia="宋体" w:cs="宋体"/>
          <w:kern w:val="0"/>
          <w:sz w:val="24"/>
          <w:szCs w:val="24"/>
        </w:rPr>
        <w:t>信息公开工作要求，深入分析研究公众对气象部门政府信息的需求，依法提升政府信息公开工作的规范性和科学性，不断提升工作人员专业素养，促进政府信息公开水平提升。</w:t>
      </w:r>
    </w:p>
    <w:p>
      <w:pPr>
        <w:widowControl/>
        <w:shd w:val="clear" w:color="auto" w:fill="FFFFFF"/>
        <w:adjustRightInd w:val="0"/>
        <w:snapToGrid w:val="0"/>
        <w:spacing w:line="500" w:lineRule="exact"/>
        <w:ind w:firstLine="482"/>
        <w:rPr>
          <w:rFonts w:ascii="宋体" w:hAnsi="宋体" w:eastAsia="宋体" w:cs="宋体"/>
          <w:b/>
          <w:kern w:val="0"/>
          <w:sz w:val="24"/>
          <w:szCs w:val="24"/>
        </w:rPr>
      </w:pPr>
      <w:r>
        <w:rPr>
          <w:rFonts w:hint="eastAsia" w:ascii="宋体" w:hAnsi="宋体" w:eastAsia="宋体" w:cs="宋体"/>
          <w:b/>
          <w:kern w:val="0"/>
          <w:sz w:val="24"/>
          <w:szCs w:val="24"/>
        </w:rPr>
        <w:t>六、其他需要报告的事项</w:t>
      </w:r>
    </w:p>
    <w:p>
      <w:pPr>
        <w:widowControl/>
        <w:shd w:val="clear" w:color="auto" w:fill="FFFFFF"/>
        <w:adjustRightInd w:val="0"/>
        <w:snapToGrid w:val="0"/>
        <w:spacing w:line="500" w:lineRule="exact"/>
        <w:ind w:firstLine="482"/>
        <w:rPr>
          <w:rFonts w:ascii="宋体" w:hAnsi="宋体" w:eastAsia="宋体" w:cs="宋体"/>
          <w:kern w:val="0"/>
          <w:sz w:val="24"/>
          <w:szCs w:val="24"/>
        </w:rPr>
      </w:pPr>
      <w:r>
        <w:rPr>
          <w:rFonts w:hint="eastAsia" w:ascii="宋体" w:hAnsi="宋体" w:eastAsia="宋体" w:cs="宋体"/>
          <w:kern w:val="0"/>
          <w:sz w:val="24"/>
          <w:szCs w:val="24"/>
        </w:rPr>
        <w:t>无其他需要报告的事项。</w:t>
      </w:r>
    </w:p>
    <w:p>
      <w:pPr>
        <w:widowControl/>
        <w:shd w:val="clear" w:color="auto" w:fill="FFFFFF"/>
        <w:ind w:firstLine="480"/>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p>
    <w:p>
      <w:pPr>
        <w:widowControl/>
        <w:shd w:val="clear" w:color="auto" w:fill="FFFFFF"/>
        <w:ind w:firstLine="5160" w:firstLineChars="2150"/>
        <w:rPr>
          <w:rFonts w:ascii="宋体" w:hAnsi="宋体" w:eastAsia="宋体" w:cs="宋体"/>
          <w:kern w:val="0"/>
          <w:sz w:val="24"/>
          <w:szCs w:val="24"/>
        </w:rPr>
      </w:pPr>
      <w:r>
        <w:rPr>
          <w:rFonts w:hint="eastAsia" w:ascii="宋体" w:hAnsi="宋体" w:eastAsia="宋体" w:cs="宋体"/>
          <w:kern w:val="0"/>
          <w:sz w:val="24"/>
          <w:szCs w:val="24"/>
        </w:rPr>
        <w:t>天津市气象局</w:t>
      </w:r>
    </w:p>
    <w:p>
      <w:pPr>
        <w:widowControl/>
        <w:shd w:val="clear" w:color="auto" w:fill="FFFFFF"/>
        <w:ind w:firstLine="5040" w:firstLineChars="2100"/>
        <w:rPr>
          <w:rFonts w:ascii="宋体" w:hAnsi="宋体" w:eastAsia="宋体" w:cs="宋体"/>
          <w:kern w:val="0"/>
          <w:sz w:val="24"/>
          <w:szCs w:val="24"/>
        </w:rPr>
      </w:pPr>
      <w:r>
        <w:rPr>
          <w:rFonts w:hint="eastAsia" w:ascii="宋体" w:hAnsi="宋体" w:eastAsia="宋体" w:cs="宋体"/>
          <w:kern w:val="0"/>
          <w:sz w:val="24"/>
          <w:szCs w:val="24"/>
        </w:rPr>
        <w:t>2023年1月1</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0000000000000000000"/>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4645"/>
    <w:rsid w:val="000056BC"/>
    <w:rsid w:val="000B2EE5"/>
    <w:rsid w:val="000C19B7"/>
    <w:rsid w:val="000C6891"/>
    <w:rsid w:val="001922E7"/>
    <w:rsid w:val="001C7AB2"/>
    <w:rsid w:val="002828F5"/>
    <w:rsid w:val="00307459"/>
    <w:rsid w:val="003230BA"/>
    <w:rsid w:val="003423BD"/>
    <w:rsid w:val="00343DCF"/>
    <w:rsid w:val="003875EB"/>
    <w:rsid w:val="003977CF"/>
    <w:rsid w:val="003D04E8"/>
    <w:rsid w:val="003D5407"/>
    <w:rsid w:val="00405382"/>
    <w:rsid w:val="004A4645"/>
    <w:rsid w:val="00522418"/>
    <w:rsid w:val="00534F42"/>
    <w:rsid w:val="005367AE"/>
    <w:rsid w:val="00552A85"/>
    <w:rsid w:val="005A6273"/>
    <w:rsid w:val="00620517"/>
    <w:rsid w:val="00744262"/>
    <w:rsid w:val="0076189D"/>
    <w:rsid w:val="0078033B"/>
    <w:rsid w:val="00822F3B"/>
    <w:rsid w:val="008478F9"/>
    <w:rsid w:val="008D33B7"/>
    <w:rsid w:val="00A15CAD"/>
    <w:rsid w:val="00A915EF"/>
    <w:rsid w:val="00AE11CF"/>
    <w:rsid w:val="00B4680E"/>
    <w:rsid w:val="00B76376"/>
    <w:rsid w:val="00B9795E"/>
    <w:rsid w:val="00C01936"/>
    <w:rsid w:val="00C13855"/>
    <w:rsid w:val="00C54BBB"/>
    <w:rsid w:val="00CE770F"/>
    <w:rsid w:val="00CF1440"/>
    <w:rsid w:val="00D01C05"/>
    <w:rsid w:val="00DB4F93"/>
    <w:rsid w:val="00DB5996"/>
    <w:rsid w:val="00DE13F6"/>
    <w:rsid w:val="00DE2616"/>
    <w:rsid w:val="00E318A8"/>
    <w:rsid w:val="00E45632"/>
    <w:rsid w:val="00E671CB"/>
    <w:rsid w:val="00EB4D81"/>
    <w:rsid w:val="00EE1DB6"/>
    <w:rsid w:val="00EE3342"/>
    <w:rsid w:val="00F33603"/>
    <w:rsid w:val="00F97473"/>
    <w:rsid w:val="00FD0CA4"/>
    <w:rsid w:val="3E2D1B29"/>
    <w:rsid w:val="755BB139"/>
    <w:rsid w:val="7CA3E458"/>
    <w:rsid w:val="7DFE2364"/>
    <w:rsid w:val="7F63481B"/>
    <w:rsid w:val="D3570549"/>
    <w:rsid w:val="F6BFA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semiHidden/>
    <w:qFormat/>
    <w:uiPriority w:val="99"/>
    <w:rPr>
      <w:kern w:val="2"/>
      <w:sz w:val="21"/>
      <w:szCs w:val="22"/>
    </w:rPr>
  </w:style>
  <w:style w:type="character" w:customStyle="1" w:styleId="14">
    <w:name w:val="批注主题 Char"/>
    <w:basedOn w:val="13"/>
    <w:link w:val="7"/>
    <w:semiHidden/>
    <w:qFormat/>
    <w:uiPriority w:val="99"/>
    <w:rPr>
      <w:b/>
      <w:bCs/>
      <w:kern w:val="2"/>
      <w:sz w:val="21"/>
      <w:szCs w:val="22"/>
    </w:rPr>
  </w:style>
  <w:style w:type="character" w:customStyle="1" w:styleId="15">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425</Words>
  <Characters>2427</Characters>
  <Lines>20</Lines>
  <Paragraphs>5</Paragraphs>
  <TotalTime>21</TotalTime>
  <ScaleCrop>false</ScaleCrop>
  <LinksUpToDate>false</LinksUpToDate>
  <CharactersWithSpaces>2847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2023-01-11T11:47:00Z</dcterms:created>
  <dc:creator>张新(拟稿人校对)</dc:creator>
  <cp:lastModifiedBy>张新:拟稿人校对</cp:lastModifiedBy>
  <cp:lastPrinted>2023-01-11T18:15:00Z</cp:lastPrinted>
  <dcterms:modified xsi:type="dcterms:W3CDTF">2023-06-08T14:51:29Z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